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0AB" w:rsidRDefault="00B320AB">
      <w:pPr>
        <w:pStyle w:val="BodyTextIndent"/>
        <w:jc w:val="center"/>
        <w:rPr>
          <w:sz w:val="48"/>
        </w:rPr>
      </w:pPr>
      <w:bookmarkStart w:id="0" w:name="_GoBack"/>
      <w:bookmarkEnd w:id="0"/>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rsidR="00D62FE5" w:rsidRPr="00F90EF2" w:rsidRDefault="00D62FE5">
      <w:pPr>
        <w:pStyle w:val="BodyTextIndent"/>
        <w:jc w:val="center"/>
        <w:rPr>
          <w:sz w:val="32"/>
          <w:szCs w:val="32"/>
        </w:rPr>
      </w:pPr>
      <w:r w:rsidRPr="00F90EF2">
        <w:rPr>
          <w:sz w:val="32"/>
          <w:szCs w:val="32"/>
        </w:rPr>
        <w:t xml:space="preserve">ERCOT Board approved </w:t>
      </w:r>
      <w:r w:rsidR="00D057C3" w:rsidRPr="00F90EF2">
        <w:rPr>
          <w:sz w:val="32"/>
          <w:szCs w:val="32"/>
        </w:rPr>
        <w:t>12/</w:t>
      </w:r>
      <w:r w:rsidR="006004C0">
        <w:rPr>
          <w:sz w:val="32"/>
          <w:szCs w:val="32"/>
        </w:rPr>
        <w:t>11</w:t>
      </w:r>
      <w:r w:rsidR="001E6F07" w:rsidRPr="00F90EF2">
        <w:rPr>
          <w:sz w:val="32"/>
          <w:szCs w:val="32"/>
        </w:rPr>
        <w:t>/201</w:t>
      </w:r>
      <w:r w:rsidR="00C25142">
        <w:rPr>
          <w:sz w:val="32"/>
          <w:szCs w:val="32"/>
        </w:rPr>
        <w:t>8</w:t>
      </w:r>
    </w:p>
    <w:p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C25142">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201</w:t>
      </w:r>
      <w:r w:rsidR="00C25142">
        <w:rPr>
          <w:sz w:val="32"/>
          <w:szCs w:val="32"/>
        </w:rPr>
        <w:t>9</w:t>
      </w:r>
    </w:p>
    <w:p w:rsidR="00D62FE5" w:rsidRDefault="00D62FE5">
      <w:pPr>
        <w:pStyle w:val="BodyTextIndent"/>
        <w:jc w:val="center"/>
        <w:rPr>
          <w:sz w:val="48"/>
        </w:rPr>
      </w:pPr>
    </w:p>
    <w:p w:rsidR="006A63B5" w:rsidRDefault="006A63B5">
      <w:pPr>
        <w:pStyle w:val="BodyTextIndent"/>
        <w:jc w:val="center"/>
        <w:rPr>
          <w:sz w:val="48"/>
        </w:rPr>
      </w:pPr>
    </w:p>
    <w:p w:rsidR="00B320AB" w:rsidRDefault="00B320AB"/>
    <w:p w:rsidR="00B320AB" w:rsidRDefault="00B320AB">
      <w:pPr>
        <w:pStyle w:val="Heading8"/>
      </w:pPr>
      <w:r>
        <w:t>TABLE OF CONTENTS</w:t>
      </w:r>
    </w:p>
    <w:p w:rsidR="00B320AB" w:rsidRDefault="00B320AB">
      <w:pPr>
        <w:rPr>
          <w:b/>
          <w:bCs/>
        </w:rPr>
      </w:pPr>
    </w:p>
    <w:p w:rsidR="0071158E" w:rsidRPr="0071158E" w:rsidRDefault="00B320AB">
      <w:pPr>
        <w:pStyle w:val="TOC3"/>
        <w:tabs>
          <w:tab w:val="right" w:leader="dot" w:pos="9350"/>
        </w:tabs>
        <w:rPr>
          <w:rFonts w:ascii="Calibri" w:hAnsi="Calibr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469653409" w:history="1">
        <w:r w:rsidR="0071158E" w:rsidRPr="007F254E">
          <w:rPr>
            <w:rStyle w:val="Hyperlink"/>
            <w:noProof/>
          </w:rPr>
          <w:t>Introduction</w:t>
        </w:r>
        <w:r w:rsidR="0071158E">
          <w:rPr>
            <w:noProof/>
            <w:webHidden/>
          </w:rPr>
          <w:tab/>
        </w:r>
        <w:r w:rsidR="0071158E">
          <w:rPr>
            <w:noProof/>
            <w:webHidden/>
          </w:rPr>
          <w:fldChar w:fldCharType="begin"/>
        </w:r>
        <w:r w:rsidR="0071158E">
          <w:rPr>
            <w:noProof/>
            <w:webHidden/>
          </w:rPr>
          <w:instrText xml:space="preserve"> PAGEREF _Toc469653409 \h </w:instrText>
        </w:r>
        <w:r w:rsidR="0071158E">
          <w:rPr>
            <w:noProof/>
            <w:webHidden/>
          </w:rPr>
        </w:r>
        <w:r w:rsidR="0071158E">
          <w:rPr>
            <w:noProof/>
            <w:webHidden/>
          </w:rPr>
          <w:fldChar w:fldCharType="separate"/>
        </w:r>
        <w:r w:rsidR="00EE5F0E">
          <w:rPr>
            <w:noProof/>
            <w:webHidden/>
          </w:rPr>
          <w:t>2</w:t>
        </w:r>
        <w:r w:rsidR="0071158E">
          <w:rPr>
            <w:noProof/>
            <w:webHidden/>
          </w:rPr>
          <w:fldChar w:fldCharType="end"/>
        </w:r>
      </w:hyperlink>
    </w:p>
    <w:p w:rsidR="0071158E" w:rsidRPr="0071158E" w:rsidRDefault="00E725D6">
      <w:pPr>
        <w:pStyle w:val="TOC3"/>
        <w:tabs>
          <w:tab w:val="right" w:leader="dot" w:pos="9350"/>
        </w:tabs>
        <w:rPr>
          <w:rFonts w:ascii="Calibri" w:hAnsi="Calibri"/>
          <w:smallCaps w:val="0"/>
          <w:noProof/>
          <w:sz w:val="22"/>
          <w:szCs w:val="22"/>
        </w:rPr>
      </w:pPr>
      <w:hyperlink w:anchor="_Toc469653410" w:history="1">
        <w:r w:rsidR="0071158E" w:rsidRPr="007F254E">
          <w:rPr>
            <w:rStyle w:val="Hyperlink"/>
            <w:noProof/>
          </w:rPr>
          <w:t>Regulation Service Requirement Details</w:t>
        </w:r>
        <w:r w:rsidR="0071158E">
          <w:rPr>
            <w:noProof/>
            <w:webHidden/>
          </w:rPr>
          <w:tab/>
        </w:r>
        <w:r w:rsidR="0071158E">
          <w:rPr>
            <w:noProof/>
            <w:webHidden/>
          </w:rPr>
          <w:fldChar w:fldCharType="begin"/>
        </w:r>
        <w:r w:rsidR="0071158E">
          <w:rPr>
            <w:noProof/>
            <w:webHidden/>
          </w:rPr>
          <w:instrText xml:space="preserve"> PAGEREF _Toc469653410 \h </w:instrText>
        </w:r>
        <w:r w:rsidR="0071158E">
          <w:rPr>
            <w:noProof/>
            <w:webHidden/>
          </w:rPr>
        </w:r>
        <w:r w:rsidR="0071158E">
          <w:rPr>
            <w:noProof/>
            <w:webHidden/>
          </w:rPr>
          <w:fldChar w:fldCharType="separate"/>
        </w:r>
        <w:r w:rsidR="00EE5F0E">
          <w:rPr>
            <w:noProof/>
            <w:webHidden/>
          </w:rPr>
          <w:t>3</w:t>
        </w:r>
        <w:r w:rsidR="0071158E">
          <w:rPr>
            <w:noProof/>
            <w:webHidden/>
          </w:rPr>
          <w:fldChar w:fldCharType="end"/>
        </w:r>
      </w:hyperlink>
    </w:p>
    <w:p w:rsidR="0071158E" w:rsidRPr="0071158E" w:rsidRDefault="00E725D6">
      <w:pPr>
        <w:pStyle w:val="TOC3"/>
        <w:tabs>
          <w:tab w:val="right" w:leader="dot" w:pos="9350"/>
        </w:tabs>
        <w:rPr>
          <w:rFonts w:ascii="Calibri" w:hAnsi="Calibri"/>
          <w:smallCaps w:val="0"/>
          <w:noProof/>
          <w:sz w:val="22"/>
          <w:szCs w:val="22"/>
        </w:rPr>
      </w:pPr>
      <w:hyperlink w:anchor="_Toc469653411" w:history="1">
        <w:r w:rsidR="0071158E" w:rsidRPr="007F254E">
          <w:rPr>
            <w:rStyle w:val="Hyperlink"/>
            <w:noProof/>
          </w:rPr>
          <w:t>Non-Spinning Reserve Service (Non-Spin) Requirement Details</w:t>
        </w:r>
        <w:r w:rsidR="0071158E">
          <w:rPr>
            <w:noProof/>
            <w:webHidden/>
          </w:rPr>
          <w:tab/>
        </w:r>
        <w:r w:rsidR="0071158E">
          <w:rPr>
            <w:noProof/>
            <w:webHidden/>
          </w:rPr>
          <w:fldChar w:fldCharType="begin"/>
        </w:r>
        <w:r w:rsidR="0071158E">
          <w:rPr>
            <w:noProof/>
            <w:webHidden/>
          </w:rPr>
          <w:instrText xml:space="preserve"> PAGEREF _Toc469653411 \h </w:instrText>
        </w:r>
        <w:r w:rsidR="0071158E">
          <w:rPr>
            <w:noProof/>
            <w:webHidden/>
          </w:rPr>
        </w:r>
        <w:r w:rsidR="0071158E">
          <w:rPr>
            <w:noProof/>
            <w:webHidden/>
          </w:rPr>
          <w:fldChar w:fldCharType="separate"/>
        </w:r>
        <w:r w:rsidR="00EE5F0E">
          <w:rPr>
            <w:noProof/>
            <w:webHidden/>
          </w:rPr>
          <w:t>7</w:t>
        </w:r>
        <w:r w:rsidR="0071158E">
          <w:rPr>
            <w:noProof/>
            <w:webHidden/>
          </w:rPr>
          <w:fldChar w:fldCharType="end"/>
        </w:r>
      </w:hyperlink>
    </w:p>
    <w:p w:rsidR="0071158E" w:rsidRPr="0071158E" w:rsidRDefault="00E725D6">
      <w:pPr>
        <w:pStyle w:val="TOC3"/>
        <w:tabs>
          <w:tab w:val="right" w:leader="dot" w:pos="9350"/>
        </w:tabs>
        <w:rPr>
          <w:rFonts w:ascii="Calibri" w:hAnsi="Calibri"/>
          <w:smallCaps w:val="0"/>
          <w:noProof/>
          <w:sz w:val="22"/>
          <w:szCs w:val="22"/>
        </w:rPr>
      </w:pPr>
      <w:hyperlink w:anchor="_Toc469653412" w:history="1">
        <w:r w:rsidR="0071158E" w:rsidRPr="007F254E">
          <w:rPr>
            <w:rStyle w:val="Hyperlink"/>
            <w:noProof/>
          </w:rPr>
          <w:t>Responsive Reserve (RRS) Requirement Details</w:t>
        </w:r>
        <w:r w:rsidR="0071158E">
          <w:rPr>
            <w:noProof/>
            <w:webHidden/>
          </w:rPr>
          <w:tab/>
        </w:r>
        <w:r w:rsidR="006A639D">
          <w:rPr>
            <w:noProof/>
            <w:webHidden/>
          </w:rPr>
          <w:t>10</w:t>
        </w:r>
      </w:hyperlink>
    </w:p>
    <w:p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 w:name="_Toc469653409"/>
      <w:r>
        <w:lastRenderedPageBreak/>
        <w:t>Introduction</w:t>
      </w:r>
      <w:bookmarkEnd w:id="1"/>
    </w:p>
    <w:p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Service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 xml:space="preserve">If the AS requirements identified through this process for a particular operating day are found to be insufficient based on the expected operating conditions for that day, ERCOT may make an updated AS requirements posting for that day if the need for incremental adjustments is identified day-ahead and may use the Supplemental Ancillary Service Market (SASM) process for similar adjustments made closer to real-time.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rsidR="00B320AB" w:rsidRPr="003A24F9" w:rsidRDefault="00DC7664" w:rsidP="00DC7664">
      <w:pPr>
        <w:pStyle w:val="H3"/>
        <w:spacing w:before="480"/>
        <w:ind w:left="0" w:firstLine="0"/>
        <w:jc w:val="both"/>
      </w:pPr>
      <w:bookmarkStart w:id="2" w:name="_Toc342049962"/>
      <w:r>
        <w:br w:type="page"/>
      </w:r>
      <w:bookmarkStart w:id="3" w:name="_Toc469653410"/>
      <w:r w:rsidR="00B320AB" w:rsidRPr="003A24F9">
        <w:lastRenderedPageBreak/>
        <w:t xml:space="preserve">Regulation </w:t>
      </w:r>
      <w:r w:rsidR="00070BB4" w:rsidRPr="003A24F9">
        <w:t>Service</w:t>
      </w:r>
      <w:r w:rsidR="00B320AB" w:rsidRPr="003A24F9">
        <w:t xml:space="preserve"> Requirement Details</w:t>
      </w:r>
      <w:bookmarkEnd w:id="2"/>
      <w:bookmarkEnd w:id="3"/>
    </w:p>
    <w:p w:rsidR="00B320AB" w:rsidRDefault="00B320AB" w:rsidP="00DC7664">
      <w:pPr>
        <w:pStyle w:val="Heading5"/>
        <w:spacing w:after="100" w:afterAutospacing="1"/>
        <w:jc w:val="both"/>
      </w:pPr>
      <w:r>
        <w:t>Introduction</w:t>
      </w:r>
    </w:p>
    <w:p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rsidR="00B320AB" w:rsidRDefault="00B320AB" w:rsidP="00DC7664">
      <w:pPr>
        <w:pStyle w:val="Heading5"/>
        <w:spacing w:after="100" w:afterAutospacing="1"/>
        <w:jc w:val="both"/>
      </w:pPr>
      <w:r>
        <w:t>Summary</w:t>
      </w:r>
    </w:p>
    <w:p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rsidR="00B320AB" w:rsidRDefault="00B320AB" w:rsidP="00DC7664">
      <w:pPr>
        <w:pStyle w:val="Heading5"/>
        <w:spacing w:after="100" w:afterAutospacing="1"/>
        <w:jc w:val="both"/>
      </w:pPr>
      <w:r>
        <w:t>Procedure</w:t>
      </w:r>
    </w:p>
    <w:p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penetration, ERCOT will calculate the increase in installed </w:t>
      </w:r>
      <w:r>
        <w:rPr>
          <w:iCs/>
          <w:szCs w:val="20"/>
        </w:rPr>
        <w:t xml:space="preserve">wind </w:t>
      </w:r>
      <w:r w:rsidRPr="003A24F9">
        <w:rPr>
          <w:iCs/>
          <w:szCs w:val="20"/>
        </w:rPr>
        <w:t>generation capacity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tables of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 data</w:t>
      </w:r>
      <w:r w:rsidR="007B033F" w:rsidRPr="003A24F9">
        <w:rPr>
          <w:iCs/>
          <w:szCs w:val="20"/>
        </w:rPr>
        <w:t xml:space="preserve">. </w:t>
      </w:r>
      <w:r w:rsidR="001001E7" w:rsidRPr="003A24F9">
        <w:rPr>
          <w:iCs/>
          <w:szCs w:val="20"/>
        </w:rPr>
        <w:t xml:space="preserve"> The increase in wind 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C9640A">
        <w:rPr>
          <w:iCs/>
          <w:szCs w:val="20"/>
        </w:rPr>
        <w:t>resources</w:t>
      </w:r>
      <w:r w:rsidR="001001E7" w:rsidRPr="003A24F9">
        <w:rPr>
          <w:iCs/>
          <w:szCs w:val="20"/>
        </w:rPr>
        <w:t xml:space="preserve"> in the ERCOT network model at the time of the procurement study and subtracting out the total nameplate capacity of wind resources in the ERCOT model at the end of the month being studied from the previous year.</w:t>
      </w:r>
    </w:p>
    <w:p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rsidR="00487DA1" w:rsidRDefault="00487DA1" w:rsidP="00DC7664">
      <w:pPr>
        <w:jc w:val="both"/>
      </w:pPr>
    </w:p>
    <w:p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0.8</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0.4</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6.2</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3.6</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4.5</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3.0</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3.6</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2.4</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4.6</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1.8</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2.0</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4.8</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3.8</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4.6</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5.0</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0.3</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3.8</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1.8</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3.0</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4.1</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0.4</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1.5</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4.2</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3.7</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2.0</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0.1</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5.0</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3.3</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4.0</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3.4</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1.7</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5.1</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3.6</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3.7</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1.4</w:t>
            </w:r>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0.7</w:t>
            </w:r>
          </w:p>
        </w:tc>
      </w:tr>
      <w:tr w:rsidR="005D2EE3" w:rsidRPr="00CC576E" w:rsidTr="00CD4127">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3.8</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2.9</w:t>
            </w:r>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1.4</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3.2</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2.8</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4.7</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1.7</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3.0</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6.3</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6.1</w:t>
            </w:r>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3.9</w:t>
            </w:r>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3.8</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3.6</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3.5</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3.2</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8.1</w:t>
            </w:r>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4.2</w:t>
            </w:r>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0.0</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1.3</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-0.2</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0.8</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0.9</w:t>
            </w:r>
          </w:p>
        </w:tc>
        <w:tc>
          <w:tcPr>
            <w:tcW w:w="190" w:type="pct"/>
            <w:tcBorders>
              <w:top w:val="single" w:sz="8" w:space="0" w:color="000000"/>
              <w:left w:val="single" w:sz="8" w:space="0" w:color="000000"/>
              <w:bottom w:val="single" w:sz="12"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r>
              <w:rPr>
                <w:rFonts w:ascii="Calibri" w:hAnsi="Calibri"/>
                <w:color w:val="000000"/>
                <w:sz w:val="22"/>
                <w:szCs w:val="22"/>
              </w:rPr>
              <w:t>0.3</w:t>
            </w:r>
          </w:p>
        </w:tc>
      </w:tr>
    </w:tbl>
    <w:p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rsidTr="003A1418">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C576E" w:rsidRPr="00EC4D96" w:rsidRDefault="00CC576E" w:rsidP="00DC7664">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rsidTr="000357D1">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C576E" w:rsidRPr="000357D1" w:rsidRDefault="00CC576E" w:rsidP="000357D1">
            <w:pPr>
              <w:widowControl/>
              <w:autoSpaceDE/>
              <w:autoSpaceDN/>
              <w:adjustRightInd/>
              <w:jc w:val="center"/>
              <w:rPr>
                <w:b/>
                <w:bCs/>
                <w:sz w:val="22"/>
                <w:szCs w:val="22"/>
              </w:rPr>
            </w:pPr>
            <w:r w:rsidRPr="000357D1">
              <w:rPr>
                <w:b/>
                <w:bCs/>
                <w:sz w:val="22"/>
                <w:szCs w:val="22"/>
              </w:rPr>
              <w:t>Hour Ending</w:t>
            </w:r>
          </w:p>
        </w:tc>
      </w:tr>
      <w:tr w:rsidR="003A1418" w:rsidRPr="00CC576E" w:rsidTr="000357D1">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rsidR="00AA6A8E" w:rsidRPr="000357D1" w:rsidRDefault="00AA6A8E" w:rsidP="000357D1">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24</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1.2</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1.1</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5.1</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5.8</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2.6</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-2.0</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2.0</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1.9</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6.8</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6.8</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5.5</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5.2</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3.4</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6.7</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8.8</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7.0</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2.5</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2.4</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1.6</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6.3</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8.2</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6.0</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4.9</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1.8</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2.4</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5.3</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5.4</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9.6</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7.0</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5.9</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3.5</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8.0</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5.6</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5.5</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2.4</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5.3</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6.1</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3.5</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6.8</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2.2</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5.7</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8.3</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7.7</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7.3</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8.3</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5.7</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2.4</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1.6</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-1.8</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6.2</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6.0</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0.0</w:t>
            </w:r>
          </w:p>
        </w:tc>
      </w:tr>
      <w:tr w:rsidR="005D2EE3" w:rsidRPr="00CC576E" w:rsidTr="00E929DB">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3.5</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3.1</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1.9</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-0.8</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2.1</w:t>
            </w:r>
          </w:p>
        </w:tc>
        <w:tc>
          <w:tcPr>
            <w:tcW w:w="18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-5.4</w:t>
            </w:r>
          </w:p>
        </w:tc>
        <w:tc>
          <w:tcPr>
            <w:tcW w:w="22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1.0</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4.0</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0.6</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-0.1</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2.0</w:t>
            </w:r>
          </w:p>
        </w:tc>
        <w:tc>
          <w:tcPr>
            <w:tcW w:w="17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-0.5</w:t>
            </w:r>
          </w:p>
        </w:tc>
        <w:tc>
          <w:tcPr>
            <w:tcW w:w="19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6.0</w:t>
            </w:r>
          </w:p>
        </w:tc>
        <w:tc>
          <w:tcPr>
            <w:tcW w:w="168"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4.0</w:t>
            </w:r>
          </w:p>
        </w:tc>
        <w:tc>
          <w:tcPr>
            <w:tcW w:w="16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8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50"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6.6</w:t>
            </w:r>
          </w:p>
        </w:tc>
        <w:tc>
          <w:tcPr>
            <w:tcW w:w="206" w:type="pct"/>
            <w:tcBorders>
              <w:top w:val="single" w:sz="4" w:space="0" w:color="000000"/>
              <w:left w:val="single" w:sz="4" w:space="0" w:color="000000"/>
              <w:bottom w:val="single" w:sz="8"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3.5</w:t>
            </w:r>
          </w:p>
        </w:tc>
      </w:tr>
    </w:tbl>
    <w:p w:rsidR="00CC576E" w:rsidRPr="0012615F" w:rsidRDefault="00CC576E" w:rsidP="00DC7664">
      <w:pPr>
        <w:widowControl/>
        <w:autoSpaceDE/>
        <w:autoSpaceDN/>
        <w:adjustRightInd/>
        <w:jc w:val="both"/>
        <w:rPr>
          <w:b/>
          <w:bCs/>
          <w:sz w:val="22"/>
          <w:szCs w:val="22"/>
        </w:rPr>
        <w:sectPr w:rsidR="00CC576E" w:rsidRPr="0012615F" w:rsidSect="003A374E">
          <w:pgSz w:w="15840" w:h="12240" w:orient="landscape" w:code="1"/>
          <w:pgMar w:top="1440" w:right="1296" w:bottom="1440" w:left="1440" w:header="720" w:footer="720" w:gutter="0"/>
          <w:cols w:space="720"/>
          <w:noEndnote/>
          <w:titlePg/>
        </w:sectPr>
      </w:pPr>
    </w:p>
    <w:p w:rsidR="00B320AB" w:rsidRPr="003A24F9" w:rsidRDefault="00B320AB" w:rsidP="00DC7664">
      <w:pPr>
        <w:pStyle w:val="H3"/>
        <w:spacing w:before="480"/>
        <w:ind w:left="0" w:firstLine="0"/>
        <w:jc w:val="both"/>
      </w:pPr>
      <w:bookmarkStart w:id="4" w:name="_Toc342049963"/>
      <w:bookmarkStart w:id="5" w:name="_Toc469653411"/>
      <w:r w:rsidRPr="003A24F9">
        <w:lastRenderedPageBreak/>
        <w:t xml:space="preserve">Non-Spinning Reserve </w:t>
      </w:r>
      <w:r w:rsidR="002A65FF" w:rsidRPr="003A24F9">
        <w:t>Service (</w:t>
      </w:r>
      <w:r w:rsidR="0061205B" w:rsidRPr="003A24F9">
        <w:t>Non-Spin</w:t>
      </w:r>
      <w:r w:rsidR="002A65FF" w:rsidRPr="003A24F9">
        <w:t xml:space="preserve">) </w:t>
      </w:r>
      <w:r w:rsidRPr="003A24F9">
        <w:t>Requirement</w:t>
      </w:r>
      <w:r w:rsidR="006C49B5" w:rsidRPr="003A24F9">
        <w:t xml:space="preserve"> Details</w:t>
      </w:r>
      <w:bookmarkEnd w:id="4"/>
      <w:bookmarkEnd w:id="5"/>
    </w:p>
    <w:p w:rsidR="00B320AB" w:rsidRDefault="00B320AB" w:rsidP="00DC7664">
      <w:pPr>
        <w:pStyle w:val="Heading5"/>
        <w:spacing w:after="100" w:afterAutospacing="1"/>
        <w:jc w:val="both"/>
      </w:pPr>
      <w:r>
        <w:t>Introduction</w:t>
      </w:r>
    </w:p>
    <w:p w:rsidR="00525996" w:rsidRDefault="00B320AB" w:rsidP="00DC7664">
      <w:pPr>
        <w:pStyle w:val="BodyTextNumbered"/>
        <w:ind w:left="0" w:firstLine="0"/>
        <w:jc w:val="both"/>
      </w:pPr>
      <w:r>
        <w:t>Non-Spinning Reserve Service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rsidR="0022345B" w:rsidRDefault="0022345B" w:rsidP="00DC7664">
      <w:pPr>
        <w:pStyle w:val="BodyTextNumbered"/>
        <w:ind w:left="0" w:firstLine="0"/>
        <w:jc w:val="both"/>
      </w:pPr>
      <w:r>
        <w:t xml:space="preserve">The periods when load is increasing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during high risk </w:t>
      </w:r>
      <w:r w:rsidR="005A3854">
        <w:t>using a variable</w:t>
      </w:r>
      <w:r w:rsidR="009D5A8D">
        <w:t xml:space="preserve"> percentile </w:t>
      </w:r>
      <w:r w:rsidR="009D5A8D" w:rsidRPr="00406ADE">
        <w:t>to</w:t>
      </w:r>
      <w:r w:rsidRPr="00406ADE">
        <w:t xml:space="preserve"> protect against forecast uncertainty.</w:t>
      </w:r>
      <w:r>
        <w:t xml:space="preserve">  </w:t>
      </w:r>
    </w:p>
    <w:p w:rsidR="0022345B" w:rsidRDefault="0022345B" w:rsidP="00DC7664">
      <w:pPr>
        <w:pStyle w:val="BodyTextNumbered"/>
        <w:ind w:left="0" w:firstLine="0"/>
        <w:jc w:val="both"/>
      </w:pPr>
      <w:r>
        <w:t>Examples of circumstances when Non-Spin has been used are:</w:t>
      </w:r>
    </w:p>
    <w:p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rsidR="0022345B" w:rsidRDefault="0022345B" w:rsidP="00DC7664">
      <w:pPr>
        <w:pStyle w:val="List"/>
        <w:numPr>
          <w:ilvl w:val="0"/>
          <w:numId w:val="23"/>
        </w:numPr>
        <w:ind w:hanging="720"/>
        <w:jc w:val="both"/>
      </w:pPr>
      <w:r>
        <w:t>Cold weather events when early morning load pickup outpaced the ability of generation to follow;</w:t>
      </w:r>
    </w:p>
    <w:p w:rsidR="0022345B" w:rsidRDefault="0022345B" w:rsidP="00DC7664">
      <w:pPr>
        <w:pStyle w:val="List"/>
        <w:numPr>
          <w:ilvl w:val="0"/>
          <w:numId w:val="23"/>
        </w:numPr>
        <w:ind w:hanging="720"/>
        <w:jc w:val="both"/>
      </w:pPr>
      <w:r>
        <w:t>Major unit trips when large amounts of spinning reserve were not online; and</w:t>
      </w:r>
    </w:p>
    <w:p w:rsidR="0022345B" w:rsidRDefault="0022345B" w:rsidP="00DC7664">
      <w:pPr>
        <w:pStyle w:val="List"/>
        <w:numPr>
          <w:ilvl w:val="0"/>
          <w:numId w:val="23"/>
        </w:numPr>
        <w:ind w:hanging="720"/>
        <w:jc w:val="both"/>
      </w:pPr>
      <w:r>
        <w:t>During periods when the wind decreased and load demand increased.</w:t>
      </w:r>
    </w:p>
    <w:p w:rsidR="00B320AB" w:rsidRDefault="00B320AB" w:rsidP="00DC7664">
      <w:pPr>
        <w:pStyle w:val="Heading5"/>
        <w:spacing w:after="100" w:afterAutospacing="1"/>
        <w:jc w:val="both"/>
      </w:pPr>
      <w:r>
        <w:t>Summary</w:t>
      </w:r>
    </w:p>
    <w:p w:rsidR="005C06D5" w:rsidRDefault="005C06D5" w:rsidP="00DC7664">
      <w:pPr>
        <w:pStyle w:val="BodyTextNumbered"/>
        <w:ind w:left="0" w:firstLine="0"/>
        <w:jc w:val="both"/>
      </w:pPr>
      <w:r>
        <w:t xml:space="preserve">Analysis for Non-Spin requirements are conducted using data from the same month of previous three years.  For the purpose of determining the amount of Non-Spin to purchase for each hour of the day, hours will be placed into four hour blocks.  The </w:t>
      </w:r>
      <w:r w:rsidR="00D62CAA">
        <w:t>net load</w:t>
      </w:r>
      <w:r>
        <w:t xml:space="preserve"> uncertainty for the analyzed days for all hours which are considered to be part of a four 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block minus the average Reg-Up requirement during the same block of hours.</w:t>
      </w:r>
    </w:p>
    <w:p w:rsidR="005C06D5" w:rsidRDefault="005C06D5" w:rsidP="00DC7664">
      <w:pPr>
        <w:pStyle w:val="BodyTextNumbered"/>
        <w:ind w:left="0" w:firstLine="0"/>
        <w:jc w:val="both"/>
      </w:pPr>
      <w:r w:rsidRPr="00F31EAB">
        <w:t xml:space="preserve">After this analysis has been completed, ERCOT will apply a floor on the final </w:t>
      </w:r>
      <w:r>
        <w:rPr>
          <w:iCs/>
        </w:rPr>
        <w:t>Non-Spin</w:t>
      </w:r>
      <w:r w:rsidRPr="00F31EAB">
        <w:t xml:space="preserve"> requirement equal to the largest unit.  This floor will only be applied to </w:t>
      </w:r>
      <w:r w:rsidR="00253066">
        <w:t>O</w:t>
      </w:r>
      <w:r w:rsidRPr="00F31EAB">
        <w:t>n-</w:t>
      </w:r>
      <w:r w:rsidR="00253066">
        <w:t>P</w:t>
      </w:r>
      <w:r w:rsidRPr="00F31EAB">
        <w:t xml:space="preserve">eak </w:t>
      </w:r>
      <w:r w:rsidR="00253066">
        <w:t>H</w:t>
      </w:r>
      <w:r w:rsidRPr="00F31EAB">
        <w:t>ours, which are hour ending 7 through 22.</w:t>
      </w:r>
      <w:r>
        <w:t xml:space="preserve">  ERCOT will post the monthly amounts for Non-Spin requirements </w:t>
      </w:r>
      <w:r w:rsidRPr="005C28BF">
        <w:t>for</w:t>
      </w:r>
      <w:r>
        <w:t xml:space="preserve"> the upcoming year on the MIS.</w:t>
      </w:r>
    </w:p>
    <w:p w:rsidR="007F24C1" w:rsidRPr="002C73F6" w:rsidRDefault="007F24C1" w:rsidP="00DC7664">
      <w:pPr>
        <w:pStyle w:val="Heading5"/>
        <w:spacing w:after="100" w:afterAutospacing="1"/>
        <w:jc w:val="both"/>
      </w:pPr>
      <w:r w:rsidRPr="002C73F6">
        <w:t>Procedure</w:t>
      </w:r>
    </w:p>
    <w:p w:rsidR="00D62CAA" w:rsidRDefault="005C06D5" w:rsidP="00DC7664">
      <w:pPr>
        <w:pStyle w:val="BodyTextNumbered"/>
        <w:ind w:left="0" w:firstLine="0"/>
        <w:jc w:val="both"/>
      </w:pPr>
      <w:r>
        <w:t>ERCOT will determine the</w:t>
      </w:r>
      <w:r w:rsidR="00D62CAA">
        <w:t xml:space="preserve"> Non-Spin requirement using the </w:t>
      </w:r>
      <w:r>
        <w:t>70</w:t>
      </w:r>
      <w:r w:rsidRPr="006C525D">
        <w:rPr>
          <w:vertAlign w:val="superscript"/>
        </w:rPr>
        <w:t>th</w:t>
      </w:r>
      <w:r w:rsidR="006C525D">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rsidR="00525996">
        <w:t xml:space="preserv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three hours prior to each Operating Hour.  The </w:t>
      </w:r>
      <w:r w:rsidR="00D62CAA">
        <w:t>net load</w:t>
      </w:r>
      <w:r>
        <w:t xml:space="preserve"> uncertainty is then defined as the difference between the </w:t>
      </w:r>
      <w:r w:rsidR="00D62CAA">
        <w:t>net load</w:t>
      </w:r>
      <w:r>
        <w:t xml:space="preserve"> and the forecasted </w:t>
      </w:r>
      <w:r w:rsidR="00D62CAA">
        <w:t>net load</w:t>
      </w:r>
      <w:r>
        <w:t xml:space="preserve">.  </w:t>
      </w:r>
    </w:p>
    <w:p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The fixed value of percentile ranging between 70</w:t>
      </w:r>
      <w:r w:rsidRPr="00F0210F">
        <w:rPr>
          <w:iCs/>
          <w:vertAlign w:val="superscript"/>
        </w:rPr>
        <w:t>th</w:t>
      </w:r>
      <w:r>
        <w:rPr>
          <w:iCs/>
        </w:rPr>
        <w:t xml:space="preserve"> 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percentile compared to 70</w:t>
      </w:r>
      <w:r w:rsidRPr="006C525D">
        <w:rPr>
          <w:iCs/>
          <w:vertAlign w:val="superscript"/>
        </w:rPr>
        <w:t>th</w:t>
      </w:r>
      <w:r w:rsidR="006C525D">
        <w:rPr>
          <w:iCs/>
        </w:rPr>
        <w:t xml:space="preserve"> </w:t>
      </w:r>
      <w:r>
        <w:rPr>
          <w:iCs/>
        </w:rPr>
        <w:t xml:space="preserve">percentile for periods with lowest risks.   </w:t>
      </w:r>
    </w:p>
    <w:p w:rsidR="00853FD4" w:rsidRDefault="00345FE3" w:rsidP="00DC7664">
      <w:pPr>
        <w:pStyle w:val="BodyTextNumbered"/>
        <w:ind w:left="0" w:firstLine="0"/>
        <w:jc w:val="both"/>
        <w:rPr>
          <w:iCs/>
        </w:rPr>
      </w:pPr>
      <w:r>
        <w:rPr>
          <w:iCs/>
        </w:rPr>
        <w:t xml:space="preserve">ERCOT has seen significant growth in installed wind capacity from one year to the next; an increase in wind capacity also tend to increase the MW quantity of forecast error. Hence, </w:t>
      </w:r>
      <w:r w:rsidR="00923847">
        <w:rPr>
          <w:iCs/>
        </w:rPr>
        <w:t>ERCOT</w:t>
      </w:r>
      <w:r w:rsidR="00853FD4">
        <w:rPr>
          <w:iCs/>
        </w:rPr>
        <w:t>’s</w:t>
      </w:r>
      <w:r w:rsidR="00923847">
        <w:rPr>
          <w:iCs/>
        </w:rPr>
        <w:t xml:space="preserve"> reliance on historical wind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rsidR="00F248A8" w:rsidRDefault="00876168" w:rsidP="00DC7664">
      <w:pPr>
        <w:pStyle w:val="BodyTextNumbered"/>
        <w:ind w:left="0" w:firstLine="0"/>
        <w:jc w:val="both"/>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 xml:space="preserve">wind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Pr>
          <w:iCs/>
        </w:rPr>
        <w:t>Th</w:t>
      </w:r>
      <w:r w:rsidR="004D646C">
        <w:rPr>
          <w:iCs/>
        </w:rPr>
        <w:t>e net</w:t>
      </w:r>
      <w:r>
        <w:rPr>
          <w:iCs/>
        </w:rPr>
        <w:t xml:space="preserve"> 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The i</w:t>
      </w:r>
      <w:r w:rsidR="004D646C" w:rsidRPr="00876168">
        <w:rPr>
          <w:iCs/>
        </w:rPr>
        <w:t xml:space="preserve">ncremental </w:t>
      </w:r>
      <w:r w:rsidR="004D646C">
        <w:rPr>
          <w:iCs/>
        </w:rPr>
        <w:t>MW 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A15B62">
        <w:rPr>
          <w:iCs/>
        </w:rPr>
        <w:t xml:space="preserve"> The t</w:t>
      </w:r>
      <w:r w:rsidR="007E34EA">
        <w:rPr>
          <w:iCs/>
        </w:rPr>
        <w:t>able below reflects the additional N</w:t>
      </w:r>
      <w:r w:rsidR="00906321">
        <w:rPr>
          <w:iCs/>
        </w:rPr>
        <w:t>on-Spin</w:t>
      </w:r>
      <w:r w:rsidR="007E34EA">
        <w:rPr>
          <w:iCs/>
        </w:rPr>
        <w:t xml:space="preserve"> adjustments per 1000 MW of installed wind capacity. </w:t>
      </w:r>
    </w:p>
    <w:p w:rsidR="000A4826" w:rsidRDefault="005C06D5" w:rsidP="00DC7664">
      <w:pPr>
        <w:pStyle w:val="BodyTextNumbered"/>
        <w:ind w:left="0" w:firstLine="0"/>
        <w:jc w:val="both"/>
      </w:pPr>
      <w:r>
        <w:t xml:space="preserve">ERCOT will purchase Non-Spin such that the combination of </w:t>
      </w:r>
      <w:r>
        <w:rPr>
          <w:iCs/>
        </w:rPr>
        <w:t>Non-Spin</w:t>
      </w:r>
      <w:r>
        <w:t xml:space="preserve"> and Reg-Up Services cover the uncertainties of </w:t>
      </w:r>
      <w:r w:rsidR="00D62CAA">
        <w:t>net load</w:t>
      </w:r>
      <w:r>
        <w:t xml:space="preserve"> forecast errors depending on the </w:t>
      </w:r>
      <w:r w:rsidR="00D62CAA">
        <w:t>net load</w:t>
      </w:r>
      <w:r>
        <w:t xml:space="preserve"> ramp risk.  </w:t>
      </w:r>
    </w:p>
    <w:p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6"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B1780" w:rsidRPr="00CC576E" w:rsidTr="006B40AB">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rsidTr="006B40AB">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rsidTr="006B40AB">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46</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47</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27</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50</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32</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39</w:t>
            </w:r>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r>
      <w:tr w:rsidR="005D2EE3" w:rsidRPr="00CC576E" w:rsidTr="006B40AB">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43</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18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2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44</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38</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7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33</w:t>
            </w:r>
          </w:p>
        </w:tc>
        <w:tc>
          <w:tcPr>
            <w:tcW w:w="19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8"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6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8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45</w:t>
            </w:r>
          </w:p>
        </w:tc>
        <w:tc>
          <w:tcPr>
            <w:tcW w:w="150"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c>
          <w:tcPr>
            <w:tcW w:w="206" w:type="pct"/>
            <w:tcBorders>
              <w:top w:val="single" w:sz="4" w:space="0" w:color="000000"/>
              <w:left w:val="single" w:sz="4" w:space="0" w:color="000000"/>
              <w:bottom w:val="single" w:sz="8"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r>
              <w:rPr>
                <w:rFonts w:ascii="Calibri" w:hAnsi="Calibri"/>
                <w:color w:val="000000"/>
                <w:sz w:val="22"/>
                <w:szCs w:val="22"/>
              </w:rPr>
              <w:t>42</w:t>
            </w:r>
          </w:p>
        </w:tc>
      </w:tr>
    </w:tbl>
    <w:p w:rsidR="00CB1780" w:rsidRDefault="00CB1780" w:rsidP="00CB1780">
      <w:pPr>
        <w:pStyle w:val="H3"/>
        <w:tabs>
          <w:tab w:val="clear" w:pos="1080"/>
          <w:tab w:val="left" w:pos="7485"/>
        </w:tabs>
        <w:spacing w:before="480"/>
        <w:ind w:left="0" w:firstLine="0"/>
        <w:jc w:val="both"/>
        <w:sectPr w:rsidR="00CB1780" w:rsidSect="00CB1780">
          <w:pgSz w:w="15840" w:h="12240" w:orient="landscape" w:code="1"/>
          <w:pgMar w:top="1440" w:right="1440" w:bottom="1440" w:left="1296" w:header="720" w:footer="720" w:gutter="0"/>
          <w:cols w:space="720"/>
          <w:noEndnote/>
          <w:titlePg/>
        </w:sectPr>
      </w:pPr>
      <w:bookmarkStart w:id="7" w:name="_Toc469653412"/>
    </w:p>
    <w:p w:rsidR="00B320AB" w:rsidRPr="003A24F9" w:rsidRDefault="00EA55AB" w:rsidP="00E929DB">
      <w:pPr>
        <w:pStyle w:val="H3"/>
        <w:tabs>
          <w:tab w:val="clear" w:pos="1080"/>
          <w:tab w:val="left" w:pos="7485"/>
        </w:tabs>
        <w:spacing w:before="480"/>
        <w:ind w:left="0" w:firstLine="0"/>
        <w:jc w:val="both"/>
      </w:pPr>
      <w:r>
        <w:rPr>
          <w:lang w:val="en-US"/>
        </w:rPr>
        <w:lastRenderedPageBreak/>
        <w:t>Re</w:t>
      </w:r>
      <w:r w:rsidR="00B320AB" w:rsidRPr="003A24F9">
        <w:t>sponsive Reserve (RRS) Requirement</w:t>
      </w:r>
      <w:r w:rsidR="006C49B5" w:rsidRPr="003A24F9">
        <w:t xml:space="preserve"> Details</w:t>
      </w:r>
      <w:bookmarkEnd w:id="6"/>
      <w:bookmarkEnd w:id="7"/>
      <w:r w:rsidR="00B320AB" w:rsidRPr="003A24F9">
        <w:t xml:space="preserve"> </w:t>
      </w:r>
    </w:p>
    <w:p w:rsidR="00EA55AB" w:rsidRPr="00E81DE2" w:rsidRDefault="00532568" w:rsidP="00EA55AB">
      <w:pPr>
        <w:spacing w:after="240"/>
        <w:jc w:val="both"/>
        <w:rPr>
          <w:szCs w:val="20"/>
        </w:rPr>
      </w:pPr>
      <w:r>
        <w:t xml:space="preserve">Nodal </w:t>
      </w:r>
      <w:r w:rsidR="00EA55AB">
        <w:t xml:space="preserve">Operating Guide Section 2.3.1.1, Obligation, sets the minimum RRS requirement for all hours under normal conditions.  </w:t>
      </w:r>
      <w:r w:rsidR="00EA55AB" w:rsidRPr="00E81DE2">
        <w:rPr>
          <w:szCs w:val="20"/>
        </w:rPr>
        <w:t xml:space="preserve">ERCOT will procure amounts of RRS that vary by hour of the day and by month.  These RRS amounts will be published by month in six separate blocks covering four hour intervals.  </w:t>
      </w:r>
      <w:r w:rsidR="00EA55AB" w:rsidRPr="00E81DE2">
        <w:t>These amounts will be based on expected diurnal load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1,150</w:t>
      </w:r>
      <w:r w:rsidR="00EA55AB">
        <w:t xml:space="preserve"> </w:t>
      </w:r>
      <w:r w:rsidR="00EA55AB" w:rsidRPr="00E81DE2">
        <w:t>MWs.  The remaining capacity required for RRS will be procured from all Resources qualified to provide RRS including Load Resources.  DAM will limit the RRS procured from Load Resources to 60% of the total RRS requirement</w:t>
      </w:r>
      <w:r w:rsidR="00EA55AB">
        <w:t>.</w:t>
      </w:r>
      <w:r w:rsidR="00EA55AB" w:rsidRPr="00E81DE2">
        <w:t xml:space="preserve">  </w:t>
      </w:r>
      <w:r w:rsidR="00EA55AB" w:rsidRPr="00E81DE2">
        <w:rPr>
          <w:iCs/>
          <w:szCs w:val="20"/>
        </w:rPr>
        <w:t>ERCOT may increase the minimum capacity required from</w:t>
      </w:r>
      <w:r w:rsidR="00EA55AB" w:rsidRPr="00E81DE2" w:rsidDel="00F23422">
        <w:rPr>
          <w:iCs/>
          <w:szCs w:val="20"/>
        </w:rPr>
        <w:t xml:space="preserve"> </w:t>
      </w:r>
      <w:r w:rsidR="00EA55AB"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sidR="00EA55AB" w:rsidRPr="00E81DE2">
        <w:t>ERCOT will procure additional 200 MW of RRS for each percent of Reserve Discount Factor (RDF) when ERCOT estimates RDF to be less than 1.  This adjustment will only apply for those 4-hour blocks where the 85</w:t>
      </w:r>
      <w:r w:rsidR="00EA55AB" w:rsidRPr="00E81DE2">
        <w:rPr>
          <w:vertAlign w:val="superscript"/>
        </w:rPr>
        <w:t>th</w:t>
      </w:r>
      <w:r w:rsidR="00EA55AB"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four hour block.  </w:t>
      </w:r>
      <w:r w:rsidR="001C0E2B">
        <w:t xml:space="preserve">Additionally, </w:t>
      </w:r>
      <w:r w:rsidR="00C25142">
        <w:t>ERCOT will</w:t>
      </w:r>
      <w:r w:rsidR="001C0E2B">
        <w:t xml:space="preserve"> make incremental adjustments to account for </w:t>
      </w:r>
      <w:r w:rsidR="00C25142">
        <w:t xml:space="preserve">Resources </w:t>
      </w:r>
      <w:r w:rsidR="007F03CA">
        <w:t xml:space="preserve">operating in synchronous condenser fast response mode </w:t>
      </w:r>
      <w:r w:rsidR="001C0E2B">
        <w:t>providing RRS</w:t>
      </w:r>
      <w:r w:rsidR="00C25142">
        <w:t xml:space="preserve">. </w:t>
      </w:r>
      <w:r w:rsidR="006622CC">
        <w:t xml:space="preserve"> </w:t>
      </w:r>
      <w:r w:rsidR="00C25142">
        <w:t xml:space="preserve">This adjustment will only apply to those 4-hour blocks when system inertia is </w:t>
      </w:r>
      <w:r w:rsidR="001C0E2B">
        <w:t xml:space="preserve">typically expected to be </w:t>
      </w:r>
      <w:r w:rsidR="00C25142">
        <w:t xml:space="preserve">less than 250 GW. </w:t>
      </w:r>
      <w:r w:rsidR="001C0E2B">
        <w:t xml:space="preserve"> </w:t>
      </w:r>
      <w:r w:rsidR="00EA55AB" w:rsidRPr="00E81DE2">
        <w:t>ERCOT will post these monthly amounts for the upcoming</w:t>
      </w:r>
      <w:r w:rsidR="00EA55AB" w:rsidRPr="00E81DE2">
        <w:rPr>
          <w:szCs w:val="20"/>
        </w:rPr>
        <w:t xml:space="preserve"> year on the MIS.  These annually published amounts are the minimum quantity that will be procured in in the DAM for each hour of the year.    </w:t>
      </w:r>
    </w:p>
    <w:p w:rsidR="00EA55AB" w:rsidRPr="00E81DE2" w:rsidRDefault="00EA55AB" w:rsidP="00EA55AB">
      <w:pPr>
        <w:spacing w:after="240"/>
        <w:jc w:val="both"/>
        <w:rPr>
          <w:szCs w:val="20"/>
        </w:rPr>
      </w:pPr>
      <w:r w:rsidRPr="00E81DE2">
        <w:rPr>
          <w:szCs w:val="20"/>
        </w:rPr>
        <w:t xml:space="preserve">One type of Responsive Reserve is Interruptible Responsive Reserve.  Interruptible Responsive Reserve is provided by Load Resources that are automatically interrupted when system frequency decreases to 59.7 Hz.  The amount of RRS procured from these types of Resources during any given hour will be limited to 60% of the total RRS requirement for that hour.  The ERCOT Protocols state, “[t]he amount of Resources on high-set under-frequency relays providing RRS will be limited to 60% of the total ERCOT RRS requirement. </w:t>
      </w:r>
    </w:p>
    <w:p w:rsidR="00EA55AB" w:rsidRPr="00E81DE2" w:rsidRDefault="00EA55AB" w:rsidP="00EA55AB">
      <w:pPr>
        <w:spacing w:after="240"/>
        <w:jc w:val="both"/>
        <w:rPr>
          <w:szCs w:val="20"/>
        </w:rPr>
      </w:pPr>
      <w:r w:rsidRPr="00E81DE2">
        <w:rPr>
          <w:szCs w:val="20"/>
        </w:rPr>
        <w:t xml:space="preserve">Self-arranged RRS used to fulfill a QSE’s RRS requirement will be limited to 60% from Load Resources excluding Controllable Load Resources.  </w:t>
      </w:r>
    </w:p>
    <w:p w:rsidR="00B320AB" w:rsidRDefault="00EA55AB" w:rsidP="00DC7664">
      <w:pPr>
        <w:pStyle w:val="BodyTextNumbered"/>
        <w:ind w:left="0" w:firstLine="0"/>
        <w:jc w:val="both"/>
      </w:pPr>
      <w:r w:rsidRPr="00E81DE2">
        <w:t>If the percentage level for Load Resources, excluding Controllable Load Resources, specified in the Protocols is changed, that change will be reflected in these requirements.</w:t>
      </w:r>
    </w:p>
    <w:p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88E" w:rsidRDefault="00D2288E">
      <w:r>
        <w:separator/>
      </w:r>
    </w:p>
  </w:endnote>
  <w:endnote w:type="continuationSeparator" w:id="0">
    <w:p w:rsidR="00D2288E" w:rsidRDefault="00D2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CC6" w:rsidRDefault="006F4C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4CC6" w:rsidRDefault="006F4C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CC6" w:rsidRDefault="006F4CC6"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25D6">
      <w:rPr>
        <w:rStyle w:val="PageNumber"/>
        <w:noProof/>
      </w:rPr>
      <w:t>8</w:t>
    </w:r>
    <w:r>
      <w:rPr>
        <w:rStyle w:val="PageNumber"/>
      </w:rPr>
      <w:fldChar w:fldCharType="end"/>
    </w:r>
  </w:p>
  <w:p w:rsidR="006F4CC6" w:rsidRPr="00C45C33" w:rsidRDefault="006F4CC6" w:rsidP="0071158E">
    <w:pPr>
      <w:pStyle w:val="Footer"/>
      <w:ind w:right="360"/>
      <w:rPr>
        <w:sz w:val="20"/>
      </w:rPr>
    </w:pPr>
    <w:r>
      <w:rPr>
        <w:sz w:val="20"/>
      </w:rPr>
      <w:t>ERCOT Methodologies for Determining Minimum Ancillary Service Requirements 0</w:t>
    </w:r>
    <w:r w:rsidR="00425A56">
      <w:rPr>
        <w:sz w:val="20"/>
      </w:rPr>
      <w:t>1</w:t>
    </w:r>
    <w:r>
      <w:rPr>
        <w:sz w:val="20"/>
      </w:rPr>
      <w:t>011</w:t>
    </w:r>
    <w:r w:rsidR="00425A56">
      <w:rPr>
        <w:sz w:val="20"/>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CC6" w:rsidRDefault="006F4CC6"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25D6">
      <w:rPr>
        <w:rStyle w:val="PageNumber"/>
        <w:noProof/>
      </w:rPr>
      <w:t>1</w:t>
    </w:r>
    <w:r>
      <w:rPr>
        <w:rStyle w:val="PageNumber"/>
      </w:rPr>
      <w:fldChar w:fldCharType="end"/>
    </w:r>
  </w:p>
  <w:p w:rsidR="006F4CC6" w:rsidRPr="00284F2C" w:rsidRDefault="006F4CC6" w:rsidP="00284F2C">
    <w:pPr>
      <w:pStyle w:val="Footer"/>
      <w:ind w:right="360"/>
      <w:rPr>
        <w:sz w:val="20"/>
      </w:rPr>
    </w:pPr>
    <w:r>
      <w:rPr>
        <w:sz w:val="20"/>
      </w:rPr>
      <w:t>ERCOT Methodologies for Determining Minimum Ancillary Service Requirements 0</w:t>
    </w:r>
    <w:r w:rsidR="00C25142">
      <w:rPr>
        <w:sz w:val="20"/>
      </w:rPr>
      <w:t>1</w:t>
    </w:r>
    <w:r>
      <w:rPr>
        <w:sz w:val="20"/>
      </w:rPr>
      <w:t>011</w:t>
    </w:r>
    <w:r w:rsidR="00C25142">
      <w:rPr>
        <w:sz w:val="20"/>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88E" w:rsidRDefault="00D2288E">
      <w:r>
        <w:separator/>
      </w:r>
    </w:p>
  </w:footnote>
  <w:footnote w:type="continuationSeparator" w:id="0">
    <w:p w:rsidR="00D2288E" w:rsidRDefault="00D228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87"/>
    <w:rsid w:val="00001902"/>
    <w:rsid w:val="000061B7"/>
    <w:rsid w:val="000062B2"/>
    <w:rsid w:val="0000714F"/>
    <w:rsid w:val="000075A3"/>
    <w:rsid w:val="000235E1"/>
    <w:rsid w:val="00032238"/>
    <w:rsid w:val="000357D1"/>
    <w:rsid w:val="00036AAE"/>
    <w:rsid w:val="00046FD0"/>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624A"/>
    <w:rsid w:val="000A335A"/>
    <w:rsid w:val="000A3554"/>
    <w:rsid w:val="000A41CD"/>
    <w:rsid w:val="000A4826"/>
    <w:rsid w:val="000A61E4"/>
    <w:rsid w:val="000A64B5"/>
    <w:rsid w:val="000A7478"/>
    <w:rsid w:val="000C0547"/>
    <w:rsid w:val="000C0E53"/>
    <w:rsid w:val="000C2DD3"/>
    <w:rsid w:val="000C302B"/>
    <w:rsid w:val="000C4A4B"/>
    <w:rsid w:val="000C6994"/>
    <w:rsid w:val="000D0621"/>
    <w:rsid w:val="000D0ED0"/>
    <w:rsid w:val="000D3706"/>
    <w:rsid w:val="000E1C39"/>
    <w:rsid w:val="000E1EB9"/>
    <w:rsid w:val="000E46A2"/>
    <w:rsid w:val="000E5824"/>
    <w:rsid w:val="000F2C68"/>
    <w:rsid w:val="000F5F78"/>
    <w:rsid w:val="001001E7"/>
    <w:rsid w:val="0010645D"/>
    <w:rsid w:val="00107487"/>
    <w:rsid w:val="00110306"/>
    <w:rsid w:val="00120B71"/>
    <w:rsid w:val="001229D8"/>
    <w:rsid w:val="00122AB8"/>
    <w:rsid w:val="00124B4A"/>
    <w:rsid w:val="0012615F"/>
    <w:rsid w:val="001327B8"/>
    <w:rsid w:val="00133C01"/>
    <w:rsid w:val="00133CE1"/>
    <w:rsid w:val="00133FF3"/>
    <w:rsid w:val="00134647"/>
    <w:rsid w:val="00143296"/>
    <w:rsid w:val="00152AC8"/>
    <w:rsid w:val="001601D0"/>
    <w:rsid w:val="0016787D"/>
    <w:rsid w:val="00167C32"/>
    <w:rsid w:val="0017415B"/>
    <w:rsid w:val="00174A5A"/>
    <w:rsid w:val="00176EA2"/>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D292B"/>
    <w:rsid w:val="001D41BD"/>
    <w:rsid w:val="001D68D4"/>
    <w:rsid w:val="001E0153"/>
    <w:rsid w:val="001E0CA3"/>
    <w:rsid w:val="001E6F07"/>
    <w:rsid w:val="001F0019"/>
    <w:rsid w:val="001F03E0"/>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70A7E"/>
    <w:rsid w:val="00275141"/>
    <w:rsid w:val="00277575"/>
    <w:rsid w:val="00282C53"/>
    <w:rsid w:val="002837B3"/>
    <w:rsid w:val="002843CC"/>
    <w:rsid w:val="00284F2C"/>
    <w:rsid w:val="0028559E"/>
    <w:rsid w:val="0028560D"/>
    <w:rsid w:val="00290250"/>
    <w:rsid w:val="00290E0D"/>
    <w:rsid w:val="002917AD"/>
    <w:rsid w:val="00291978"/>
    <w:rsid w:val="00293090"/>
    <w:rsid w:val="0029432E"/>
    <w:rsid w:val="002944D6"/>
    <w:rsid w:val="002969E4"/>
    <w:rsid w:val="002A14B7"/>
    <w:rsid w:val="002A25C0"/>
    <w:rsid w:val="002A3D9C"/>
    <w:rsid w:val="002A5819"/>
    <w:rsid w:val="002A65FF"/>
    <w:rsid w:val="002A693A"/>
    <w:rsid w:val="002A7831"/>
    <w:rsid w:val="002A7AE1"/>
    <w:rsid w:val="002B2A34"/>
    <w:rsid w:val="002B4A35"/>
    <w:rsid w:val="002B544E"/>
    <w:rsid w:val="002C07D0"/>
    <w:rsid w:val="002C10A2"/>
    <w:rsid w:val="002C2D99"/>
    <w:rsid w:val="002C4EF2"/>
    <w:rsid w:val="002C5D5C"/>
    <w:rsid w:val="002C73F6"/>
    <w:rsid w:val="002C75BC"/>
    <w:rsid w:val="002D2FB8"/>
    <w:rsid w:val="002D4E32"/>
    <w:rsid w:val="002D7870"/>
    <w:rsid w:val="002D7EC8"/>
    <w:rsid w:val="002E3BD3"/>
    <w:rsid w:val="002E7C37"/>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6000F"/>
    <w:rsid w:val="00361016"/>
    <w:rsid w:val="00371876"/>
    <w:rsid w:val="003751B4"/>
    <w:rsid w:val="00375F55"/>
    <w:rsid w:val="00380267"/>
    <w:rsid w:val="003805ED"/>
    <w:rsid w:val="00380B6E"/>
    <w:rsid w:val="00385CDA"/>
    <w:rsid w:val="0039235B"/>
    <w:rsid w:val="003958FD"/>
    <w:rsid w:val="003A1418"/>
    <w:rsid w:val="003A24F9"/>
    <w:rsid w:val="003A374E"/>
    <w:rsid w:val="003A46FE"/>
    <w:rsid w:val="003B0D28"/>
    <w:rsid w:val="003B7D6C"/>
    <w:rsid w:val="003C5826"/>
    <w:rsid w:val="003D336D"/>
    <w:rsid w:val="003D4B7A"/>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6175"/>
    <w:rsid w:val="00416D16"/>
    <w:rsid w:val="00417394"/>
    <w:rsid w:val="004205F2"/>
    <w:rsid w:val="00421571"/>
    <w:rsid w:val="00422B23"/>
    <w:rsid w:val="00422D10"/>
    <w:rsid w:val="00425A56"/>
    <w:rsid w:val="00431F1A"/>
    <w:rsid w:val="004373F9"/>
    <w:rsid w:val="00442777"/>
    <w:rsid w:val="00450571"/>
    <w:rsid w:val="00451A44"/>
    <w:rsid w:val="00454845"/>
    <w:rsid w:val="004611D5"/>
    <w:rsid w:val="00463676"/>
    <w:rsid w:val="00471209"/>
    <w:rsid w:val="00473F6C"/>
    <w:rsid w:val="00474B10"/>
    <w:rsid w:val="00476C88"/>
    <w:rsid w:val="004871D5"/>
    <w:rsid w:val="00487DA1"/>
    <w:rsid w:val="00491277"/>
    <w:rsid w:val="00492960"/>
    <w:rsid w:val="00496DDE"/>
    <w:rsid w:val="004C00F4"/>
    <w:rsid w:val="004C03AD"/>
    <w:rsid w:val="004C0C38"/>
    <w:rsid w:val="004C1783"/>
    <w:rsid w:val="004C2A6B"/>
    <w:rsid w:val="004C364B"/>
    <w:rsid w:val="004C4B51"/>
    <w:rsid w:val="004D14B5"/>
    <w:rsid w:val="004D16D4"/>
    <w:rsid w:val="004D646C"/>
    <w:rsid w:val="004E1212"/>
    <w:rsid w:val="004E3896"/>
    <w:rsid w:val="004F17C9"/>
    <w:rsid w:val="004F63AA"/>
    <w:rsid w:val="004F7B83"/>
    <w:rsid w:val="004F7F8B"/>
    <w:rsid w:val="00501303"/>
    <w:rsid w:val="005147DE"/>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817"/>
    <w:rsid w:val="0056464E"/>
    <w:rsid w:val="00570D2A"/>
    <w:rsid w:val="00573179"/>
    <w:rsid w:val="00583BE4"/>
    <w:rsid w:val="00584562"/>
    <w:rsid w:val="005879C2"/>
    <w:rsid w:val="005929B3"/>
    <w:rsid w:val="00595D4A"/>
    <w:rsid w:val="00595F6F"/>
    <w:rsid w:val="00597880"/>
    <w:rsid w:val="005A0CB2"/>
    <w:rsid w:val="005A3787"/>
    <w:rsid w:val="005A3854"/>
    <w:rsid w:val="005A4323"/>
    <w:rsid w:val="005A7620"/>
    <w:rsid w:val="005B0125"/>
    <w:rsid w:val="005B1066"/>
    <w:rsid w:val="005B1352"/>
    <w:rsid w:val="005B6C33"/>
    <w:rsid w:val="005B73DF"/>
    <w:rsid w:val="005B7498"/>
    <w:rsid w:val="005C06D5"/>
    <w:rsid w:val="005C07E9"/>
    <w:rsid w:val="005C2619"/>
    <w:rsid w:val="005C28BF"/>
    <w:rsid w:val="005C2DFA"/>
    <w:rsid w:val="005C4A80"/>
    <w:rsid w:val="005C6DFA"/>
    <w:rsid w:val="005C7834"/>
    <w:rsid w:val="005D0372"/>
    <w:rsid w:val="005D28EA"/>
    <w:rsid w:val="005D2EE3"/>
    <w:rsid w:val="005D4BF3"/>
    <w:rsid w:val="005E0B95"/>
    <w:rsid w:val="005F05D4"/>
    <w:rsid w:val="005F2540"/>
    <w:rsid w:val="005F7CDF"/>
    <w:rsid w:val="006004C0"/>
    <w:rsid w:val="00604C13"/>
    <w:rsid w:val="0060514C"/>
    <w:rsid w:val="006053CF"/>
    <w:rsid w:val="00610A60"/>
    <w:rsid w:val="00611084"/>
    <w:rsid w:val="0061205B"/>
    <w:rsid w:val="00614923"/>
    <w:rsid w:val="00617158"/>
    <w:rsid w:val="00617D2C"/>
    <w:rsid w:val="00622E58"/>
    <w:rsid w:val="00626A43"/>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64"/>
    <w:rsid w:val="00676CD6"/>
    <w:rsid w:val="00682794"/>
    <w:rsid w:val="00687CB3"/>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41400"/>
    <w:rsid w:val="00741B77"/>
    <w:rsid w:val="00743D83"/>
    <w:rsid w:val="00750269"/>
    <w:rsid w:val="00754022"/>
    <w:rsid w:val="0075586A"/>
    <w:rsid w:val="007579A6"/>
    <w:rsid w:val="00763B57"/>
    <w:rsid w:val="00765A97"/>
    <w:rsid w:val="00785BE2"/>
    <w:rsid w:val="007921E5"/>
    <w:rsid w:val="007967EE"/>
    <w:rsid w:val="00797ECF"/>
    <w:rsid w:val="007A1667"/>
    <w:rsid w:val="007A4918"/>
    <w:rsid w:val="007B033F"/>
    <w:rsid w:val="007B17A0"/>
    <w:rsid w:val="007B1AD9"/>
    <w:rsid w:val="007B1B42"/>
    <w:rsid w:val="007B2A67"/>
    <w:rsid w:val="007B45F5"/>
    <w:rsid w:val="007B4C2D"/>
    <w:rsid w:val="007B5C85"/>
    <w:rsid w:val="007C06D4"/>
    <w:rsid w:val="007C2B4F"/>
    <w:rsid w:val="007C4EAD"/>
    <w:rsid w:val="007C5DB2"/>
    <w:rsid w:val="007D045C"/>
    <w:rsid w:val="007D045E"/>
    <w:rsid w:val="007D39B5"/>
    <w:rsid w:val="007E1A0B"/>
    <w:rsid w:val="007E262C"/>
    <w:rsid w:val="007E33DF"/>
    <w:rsid w:val="007E34EA"/>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C98"/>
    <w:rsid w:val="00824EF1"/>
    <w:rsid w:val="008270E6"/>
    <w:rsid w:val="00827F1D"/>
    <w:rsid w:val="00833762"/>
    <w:rsid w:val="00835BF5"/>
    <w:rsid w:val="00837574"/>
    <w:rsid w:val="00837E46"/>
    <w:rsid w:val="008410B4"/>
    <w:rsid w:val="00842CA7"/>
    <w:rsid w:val="00845BB7"/>
    <w:rsid w:val="008464B1"/>
    <w:rsid w:val="00850937"/>
    <w:rsid w:val="00851E1A"/>
    <w:rsid w:val="00852BDE"/>
    <w:rsid w:val="00853FD4"/>
    <w:rsid w:val="008540E1"/>
    <w:rsid w:val="00855847"/>
    <w:rsid w:val="008608F2"/>
    <w:rsid w:val="00860F9C"/>
    <w:rsid w:val="0087357B"/>
    <w:rsid w:val="00876168"/>
    <w:rsid w:val="00880969"/>
    <w:rsid w:val="00880A1B"/>
    <w:rsid w:val="00881A25"/>
    <w:rsid w:val="00881E6B"/>
    <w:rsid w:val="00886202"/>
    <w:rsid w:val="008873FC"/>
    <w:rsid w:val="008B0451"/>
    <w:rsid w:val="008B07CA"/>
    <w:rsid w:val="008B6300"/>
    <w:rsid w:val="008B7196"/>
    <w:rsid w:val="008C572D"/>
    <w:rsid w:val="008D649A"/>
    <w:rsid w:val="008E7D43"/>
    <w:rsid w:val="008F5F94"/>
    <w:rsid w:val="008F6371"/>
    <w:rsid w:val="008F6718"/>
    <w:rsid w:val="008F68E5"/>
    <w:rsid w:val="00903249"/>
    <w:rsid w:val="009038A3"/>
    <w:rsid w:val="00905644"/>
    <w:rsid w:val="00906321"/>
    <w:rsid w:val="00910320"/>
    <w:rsid w:val="00915F3C"/>
    <w:rsid w:val="00920B78"/>
    <w:rsid w:val="00920B7B"/>
    <w:rsid w:val="0092303B"/>
    <w:rsid w:val="0092355A"/>
    <w:rsid w:val="00923847"/>
    <w:rsid w:val="009266B5"/>
    <w:rsid w:val="00932A25"/>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B212A"/>
    <w:rsid w:val="009B34EE"/>
    <w:rsid w:val="009C09A4"/>
    <w:rsid w:val="009C5D0F"/>
    <w:rsid w:val="009D56D9"/>
    <w:rsid w:val="009D5A8D"/>
    <w:rsid w:val="009D704B"/>
    <w:rsid w:val="009E6052"/>
    <w:rsid w:val="009E683D"/>
    <w:rsid w:val="009F77F1"/>
    <w:rsid w:val="00A015C6"/>
    <w:rsid w:val="00A01C33"/>
    <w:rsid w:val="00A0381C"/>
    <w:rsid w:val="00A03993"/>
    <w:rsid w:val="00A07CD8"/>
    <w:rsid w:val="00A1189B"/>
    <w:rsid w:val="00A15895"/>
    <w:rsid w:val="00A15B62"/>
    <w:rsid w:val="00A17537"/>
    <w:rsid w:val="00A175B1"/>
    <w:rsid w:val="00A20A01"/>
    <w:rsid w:val="00A2499B"/>
    <w:rsid w:val="00A26CAB"/>
    <w:rsid w:val="00A30E17"/>
    <w:rsid w:val="00A30F53"/>
    <w:rsid w:val="00A37906"/>
    <w:rsid w:val="00A419DD"/>
    <w:rsid w:val="00A43D70"/>
    <w:rsid w:val="00A46144"/>
    <w:rsid w:val="00A50C1E"/>
    <w:rsid w:val="00A524B5"/>
    <w:rsid w:val="00A542D6"/>
    <w:rsid w:val="00A62BB5"/>
    <w:rsid w:val="00A637B2"/>
    <w:rsid w:val="00A63BA7"/>
    <w:rsid w:val="00A65743"/>
    <w:rsid w:val="00A71A89"/>
    <w:rsid w:val="00A745FA"/>
    <w:rsid w:val="00A76C99"/>
    <w:rsid w:val="00A80D4C"/>
    <w:rsid w:val="00A81D46"/>
    <w:rsid w:val="00A84A2F"/>
    <w:rsid w:val="00A86855"/>
    <w:rsid w:val="00A910AF"/>
    <w:rsid w:val="00A95627"/>
    <w:rsid w:val="00A973E8"/>
    <w:rsid w:val="00A97B8E"/>
    <w:rsid w:val="00AA0154"/>
    <w:rsid w:val="00AA1D2E"/>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B00B77"/>
    <w:rsid w:val="00B01ACA"/>
    <w:rsid w:val="00B0237D"/>
    <w:rsid w:val="00B02FEC"/>
    <w:rsid w:val="00B121C3"/>
    <w:rsid w:val="00B1395A"/>
    <w:rsid w:val="00B25205"/>
    <w:rsid w:val="00B253A9"/>
    <w:rsid w:val="00B26B74"/>
    <w:rsid w:val="00B320AB"/>
    <w:rsid w:val="00B34976"/>
    <w:rsid w:val="00B459E0"/>
    <w:rsid w:val="00B5464D"/>
    <w:rsid w:val="00B55BBE"/>
    <w:rsid w:val="00B61C54"/>
    <w:rsid w:val="00B61D65"/>
    <w:rsid w:val="00B61F02"/>
    <w:rsid w:val="00B63DE8"/>
    <w:rsid w:val="00B64F53"/>
    <w:rsid w:val="00B654BC"/>
    <w:rsid w:val="00B666A5"/>
    <w:rsid w:val="00B66E83"/>
    <w:rsid w:val="00B70037"/>
    <w:rsid w:val="00B81D6B"/>
    <w:rsid w:val="00BA0CEC"/>
    <w:rsid w:val="00BA1537"/>
    <w:rsid w:val="00BA23E4"/>
    <w:rsid w:val="00BA6F5C"/>
    <w:rsid w:val="00BA73CE"/>
    <w:rsid w:val="00BB0479"/>
    <w:rsid w:val="00BB47DF"/>
    <w:rsid w:val="00BB750A"/>
    <w:rsid w:val="00BC078C"/>
    <w:rsid w:val="00BC4190"/>
    <w:rsid w:val="00BC7492"/>
    <w:rsid w:val="00BD6AB8"/>
    <w:rsid w:val="00BE0B67"/>
    <w:rsid w:val="00BE1437"/>
    <w:rsid w:val="00BE4561"/>
    <w:rsid w:val="00BE6FCF"/>
    <w:rsid w:val="00BF0705"/>
    <w:rsid w:val="00BF2839"/>
    <w:rsid w:val="00BF319A"/>
    <w:rsid w:val="00BF35CE"/>
    <w:rsid w:val="00BF5AAE"/>
    <w:rsid w:val="00BF5C8E"/>
    <w:rsid w:val="00BF733B"/>
    <w:rsid w:val="00BF7A03"/>
    <w:rsid w:val="00C02D78"/>
    <w:rsid w:val="00C0538F"/>
    <w:rsid w:val="00C079E6"/>
    <w:rsid w:val="00C12172"/>
    <w:rsid w:val="00C223F6"/>
    <w:rsid w:val="00C2453B"/>
    <w:rsid w:val="00C25142"/>
    <w:rsid w:val="00C3023F"/>
    <w:rsid w:val="00C331CC"/>
    <w:rsid w:val="00C3383F"/>
    <w:rsid w:val="00C373EC"/>
    <w:rsid w:val="00C37DBA"/>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115D"/>
    <w:rsid w:val="00C82152"/>
    <w:rsid w:val="00C87B05"/>
    <w:rsid w:val="00C90421"/>
    <w:rsid w:val="00C94199"/>
    <w:rsid w:val="00C94CD7"/>
    <w:rsid w:val="00C96337"/>
    <w:rsid w:val="00C9640A"/>
    <w:rsid w:val="00C97612"/>
    <w:rsid w:val="00CA572E"/>
    <w:rsid w:val="00CA607C"/>
    <w:rsid w:val="00CB0E1A"/>
    <w:rsid w:val="00CB1780"/>
    <w:rsid w:val="00CB2C3A"/>
    <w:rsid w:val="00CB5983"/>
    <w:rsid w:val="00CB5B9B"/>
    <w:rsid w:val="00CB7783"/>
    <w:rsid w:val="00CC25D1"/>
    <w:rsid w:val="00CC26E6"/>
    <w:rsid w:val="00CC4426"/>
    <w:rsid w:val="00CC576E"/>
    <w:rsid w:val="00CD1898"/>
    <w:rsid w:val="00CD19E5"/>
    <w:rsid w:val="00CD4127"/>
    <w:rsid w:val="00CD50FA"/>
    <w:rsid w:val="00CE0184"/>
    <w:rsid w:val="00CE1A05"/>
    <w:rsid w:val="00CE3A17"/>
    <w:rsid w:val="00CE4E05"/>
    <w:rsid w:val="00CE59EA"/>
    <w:rsid w:val="00CE7CB1"/>
    <w:rsid w:val="00CF1C19"/>
    <w:rsid w:val="00CF479A"/>
    <w:rsid w:val="00CF4CA4"/>
    <w:rsid w:val="00D013EB"/>
    <w:rsid w:val="00D0326A"/>
    <w:rsid w:val="00D04ED5"/>
    <w:rsid w:val="00D057C3"/>
    <w:rsid w:val="00D058E5"/>
    <w:rsid w:val="00D05F37"/>
    <w:rsid w:val="00D137E8"/>
    <w:rsid w:val="00D13E60"/>
    <w:rsid w:val="00D13F4E"/>
    <w:rsid w:val="00D14C8D"/>
    <w:rsid w:val="00D15DEA"/>
    <w:rsid w:val="00D170A9"/>
    <w:rsid w:val="00D20571"/>
    <w:rsid w:val="00D21F17"/>
    <w:rsid w:val="00D2288E"/>
    <w:rsid w:val="00D24700"/>
    <w:rsid w:val="00D27834"/>
    <w:rsid w:val="00D333E4"/>
    <w:rsid w:val="00D34875"/>
    <w:rsid w:val="00D4695A"/>
    <w:rsid w:val="00D477A9"/>
    <w:rsid w:val="00D5144E"/>
    <w:rsid w:val="00D51B06"/>
    <w:rsid w:val="00D52AB7"/>
    <w:rsid w:val="00D54486"/>
    <w:rsid w:val="00D55D4F"/>
    <w:rsid w:val="00D62415"/>
    <w:rsid w:val="00D62CAA"/>
    <w:rsid w:val="00D62FE5"/>
    <w:rsid w:val="00D639B4"/>
    <w:rsid w:val="00D65995"/>
    <w:rsid w:val="00D65A87"/>
    <w:rsid w:val="00D67396"/>
    <w:rsid w:val="00D6744A"/>
    <w:rsid w:val="00D70532"/>
    <w:rsid w:val="00D72A61"/>
    <w:rsid w:val="00D80F82"/>
    <w:rsid w:val="00D82BEB"/>
    <w:rsid w:val="00D83525"/>
    <w:rsid w:val="00D8436E"/>
    <w:rsid w:val="00D87413"/>
    <w:rsid w:val="00D875FF"/>
    <w:rsid w:val="00D901B0"/>
    <w:rsid w:val="00D927DC"/>
    <w:rsid w:val="00D9337A"/>
    <w:rsid w:val="00DB02AF"/>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2C8A"/>
    <w:rsid w:val="00E05A26"/>
    <w:rsid w:val="00E137B3"/>
    <w:rsid w:val="00E16CFA"/>
    <w:rsid w:val="00E20730"/>
    <w:rsid w:val="00E21052"/>
    <w:rsid w:val="00E2286E"/>
    <w:rsid w:val="00E27F82"/>
    <w:rsid w:val="00E302F5"/>
    <w:rsid w:val="00E36FB6"/>
    <w:rsid w:val="00E42C58"/>
    <w:rsid w:val="00E44DBE"/>
    <w:rsid w:val="00E472E9"/>
    <w:rsid w:val="00E50670"/>
    <w:rsid w:val="00E51956"/>
    <w:rsid w:val="00E5391D"/>
    <w:rsid w:val="00E55F85"/>
    <w:rsid w:val="00E601A9"/>
    <w:rsid w:val="00E61A04"/>
    <w:rsid w:val="00E62123"/>
    <w:rsid w:val="00E632AA"/>
    <w:rsid w:val="00E650E7"/>
    <w:rsid w:val="00E65497"/>
    <w:rsid w:val="00E67427"/>
    <w:rsid w:val="00E725D6"/>
    <w:rsid w:val="00E72A54"/>
    <w:rsid w:val="00E73CB7"/>
    <w:rsid w:val="00E73E6E"/>
    <w:rsid w:val="00E76BE2"/>
    <w:rsid w:val="00E77FCB"/>
    <w:rsid w:val="00E818B8"/>
    <w:rsid w:val="00E854D1"/>
    <w:rsid w:val="00E859B2"/>
    <w:rsid w:val="00E85BA6"/>
    <w:rsid w:val="00E90E9E"/>
    <w:rsid w:val="00E929DB"/>
    <w:rsid w:val="00E95BDD"/>
    <w:rsid w:val="00E97F65"/>
    <w:rsid w:val="00EA2C1E"/>
    <w:rsid w:val="00EA3223"/>
    <w:rsid w:val="00EA51E6"/>
    <w:rsid w:val="00EA55AB"/>
    <w:rsid w:val="00EB6CE8"/>
    <w:rsid w:val="00EC31F8"/>
    <w:rsid w:val="00EC4D96"/>
    <w:rsid w:val="00EC5147"/>
    <w:rsid w:val="00ED1C48"/>
    <w:rsid w:val="00ED4DE7"/>
    <w:rsid w:val="00EE0EC6"/>
    <w:rsid w:val="00EE293C"/>
    <w:rsid w:val="00EE5F0E"/>
    <w:rsid w:val="00EE6004"/>
    <w:rsid w:val="00EF0CB5"/>
    <w:rsid w:val="00EF57EA"/>
    <w:rsid w:val="00EF5CEC"/>
    <w:rsid w:val="00F0210F"/>
    <w:rsid w:val="00F02FD4"/>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1111"/>
    <w:rsid w:val="00F81986"/>
    <w:rsid w:val="00F909AD"/>
    <w:rsid w:val="00F90AB6"/>
    <w:rsid w:val="00F90EF2"/>
    <w:rsid w:val="00F92191"/>
    <w:rsid w:val="00F93766"/>
    <w:rsid w:val="00FA3983"/>
    <w:rsid w:val="00FA65FB"/>
    <w:rsid w:val="00FA6DB5"/>
    <w:rsid w:val="00FC0098"/>
    <w:rsid w:val="00FC534C"/>
    <w:rsid w:val="00FD061B"/>
    <w:rsid w:val="00FD13C4"/>
    <w:rsid w:val="00FD1F08"/>
    <w:rsid w:val="00FD3C86"/>
    <w:rsid w:val="00FD4EA9"/>
    <w:rsid w:val="00FD6FC9"/>
    <w:rsid w:val="00FE039F"/>
    <w:rsid w:val="00FE2996"/>
    <w:rsid w:val="00FE5BE1"/>
    <w:rsid w:val="00FE756A"/>
    <w:rsid w:val="00FF021B"/>
    <w:rsid w:val="00FF4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5FF237B9-4CE6-49E6-9884-75D1561DF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FCA5D-BEF4-45A8-9846-A5B35FBD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2895</Words>
  <Characters>16505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19362</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C Phillips</cp:lastModifiedBy>
  <cp:revision>2</cp:revision>
  <cp:lastPrinted>2013-11-25T23:07:00Z</cp:lastPrinted>
  <dcterms:created xsi:type="dcterms:W3CDTF">2018-12-17T19:13:00Z</dcterms:created>
  <dcterms:modified xsi:type="dcterms:W3CDTF">2018-12-17T19:13:00Z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